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D5A207" w14:textId="350C447A" w:rsidR="00E65BC0" w:rsidRPr="0052548E" w:rsidRDefault="00E65BC0" w:rsidP="00E65BC0">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eastAsia="MS Mincho" w:hAnsi="Arial" w:cs="Arial"/>
          <w:b/>
          <w:bCs/>
          <w:sz w:val="28"/>
          <w:lang w:eastAsia="ja-JP"/>
        </w:rPr>
        <w:tab/>
      </w:r>
      <w:r>
        <w:rPr>
          <w:rFonts w:ascii="Arial" w:eastAsia="MS Mincho" w:hAnsi="Arial" w:cs="Arial"/>
          <w:b/>
          <w:bCs/>
          <w:sz w:val="28"/>
          <w:lang w:eastAsia="ja-JP"/>
        </w:rPr>
        <w:tab/>
      </w:r>
      <w:r>
        <w:rPr>
          <w:rFonts w:ascii="Arial" w:hAnsi="Arial" w:cs="Arial"/>
          <w:b/>
          <w:bCs/>
          <w:sz w:val="28"/>
        </w:rPr>
        <w:tab/>
        <w:t>R1-</w:t>
      </w:r>
      <w:r w:rsidR="008B13B3" w:rsidRPr="008B13B3">
        <w:rPr>
          <w:rFonts w:ascii="Arial" w:hAnsi="Arial" w:cs="Arial"/>
          <w:b/>
          <w:bCs/>
          <w:sz w:val="28"/>
        </w:rPr>
        <w:t>1713478</w:t>
      </w:r>
    </w:p>
    <w:p w14:paraId="3C0458B8" w14:textId="3F9B2B4C" w:rsidR="008804DA" w:rsidRPr="00C20344" w:rsidRDefault="00E65BC0" w:rsidP="00C20344">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sidRPr="000E3844">
        <w:rPr>
          <w:rFonts w:ascii="Arial" w:hAnsi="Arial" w:cs="Arial"/>
          <w:b/>
          <w:bCs/>
          <w:sz w:val="28"/>
        </w:rPr>
        <w:t>Czech Republic</w:t>
      </w:r>
      <w:r>
        <w:rPr>
          <w:rFonts w:ascii="Arial" w:hAnsi="Arial" w:cs="Arial"/>
          <w:b/>
          <w:bCs/>
          <w:sz w:val="28"/>
        </w:rPr>
        <w:t xml:space="preserve">, </w:t>
      </w:r>
      <w:r>
        <w:rPr>
          <w:rFonts w:ascii="Arial" w:eastAsia="MS Mincho" w:hAnsi="Arial" w:cs="Arial" w:hint="eastAsia"/>
          <w:b/>
          <w:bCs/>
          <w:sz w:val="28"/>
          <w:lang w:eastAsia="ja-JP"/>
        </w:rPr>
        <w:t xml:space="preserve">21th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14:paraId="0DCC4F68" w14:textId="6423372F"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C20344">
        <w:rPr>
          <w:rFonts w:ascii="Arial" w:hAnsi="Arial"/>
          <w:sz w:val="24"/>
        </w:rPr>
        <w:t>6</w:t>
      </w:r>
      <w:r w:rsidRPr="005B105B">
        <w:rPr>
          <w:rFonts w:ascii="Arial" w:hAnsi="Arial"/>
          <w:sz w:val="24"/>
        </w:rPr>
        <w:t>.1.</w:t>
      </w:r>
      <w:r w:rsidR="00C20344">
        <w:rPr>
          <w:rFonts w:ascii="Arial" w:hAnsi="Arial"/>
          <w:sz w:val="24"/>
        </w:rPr>
        <w:t>7.1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98466C2"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44105" w:rsidRPr="00544105">
        <w:rPr>
          <w:rFonts w:ascii="Arial" w:hAnsi="Arial"/>
          <w:sz w:val="24"/>
        </w:rPr>
        <w:t>Power sharing for LTE-NR dual connectivity</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22386F5B" w14:textId="3D15DFCF" w:rsidR="009550FF" w:rsidRDefault="009125D7" w:rsidP="000A3CBA">
      <w:pPr>
        <w:jc w:val="both"/>
      </w:pPr>
      <w:r>
        <w:t xml:space="preserve">In </w:t>
      </w:r>
      <w:r>
        <w:rPr>
          <w:szCs w:val="22"/>
        </w:rPr>
        <w:t xml:space="preserve">RAN1 </w:t>
      </w:r>
      <w:r w:rsidRPr="00683BDC">
        <w:t>NR Ad-Hoc#2</w:t>
      </w:r>
      <w:r>
        <w:rPr>
          <w:szCs w:val="22"/>
        </w:rPr>
        <w:t xml:space="preserve"> </w:t>
      </w:r>
      <w:r>
        <w:rPr>
          <w:szCs w:val="22"/>
        </w:rPr>
        <w:fldChar w:fldCharType="begin"/>
      </w:r>
      <w:r>
        <w:rPr>
          <w:szCs w:val="22"/>
        </w:rPr>
        <w:instrText xml:space="preserve"> REF _Ref489449226 \r \h </w:instrText>
      </w:r>
      <w:r>
        <w:rPr>
          <w:szCs w:val="22"/>
        </w:rPr>
      </w:r>
      <w:r>
        <w:rPr>
          <w:szCs w:val="22"/>
        </w:rPr>
        <w:fldChar w:fldCharType="separate"/>
      </w:r>
      <w:r>
        <w:rPr>
          <w:szCs w:val="22"/>
        </w:rPr>
        <w:t>[1]</w:t>
      </w:r>
      <w:r>
        <w:rPr>
          <w:szCs w:val="22"/>
        </w:rPr>
        <w:fldChar w:fldCharType="end"/>
      </w:r>
      <w:r>
        <w:rPr>
          <w:szCs w:val="22"/>
        </w:rPr>
        <w:t xml:space="preserve">, </w:t>
      </w:r>
      <w:r w:rsidRPr="005D74B7">
        <w:t xml:space="preserve">the following has been agreed for UL </w:t>
      </w:r>
      <w:r>
        <w:t>power sharing for LTE-NR dual connectivity (DC)</w:t>
      </w:r>
    </w:p>
    <w:p w14:paraId="44A4FBA1" w14:textId="77777777" w:rsidR="009125D7" w:rsidRPr="008023BE" w:rsidRDefault="009125D7" w:rsidP="009125D7">
      <w:pPr>
        <w:numPr>
          <w:ilvl w:val="0"/>
          <w:numId w:val="16"/>
        </w:numPr>
        <w:overflowPunct/>
        <w:autoSpaceDE/>
        <w:autoSpaceDN/>
        <w:adjustRightInd/>
        <w:spacing w:after="0"/>
        <w:textAlignment w:val="auto"/>
        <w:rPr>
          <w:rFonts w:eastAsia="MS Mincho"/>
          <w:lang w:eastAsia="ja-JP"/>
        </w:rPr>
      </w:pPr>
      <w:r w:rsidRPr="008023BE">
        <w:rPr>
          <w:rFonts w:eastAsia="MS Mincho"/>
          <w:lang w:eastAsia="ja-JP"/>
        </w:rPr>
        <w:t>Regarding power sharing for LTE-NR dual connectivity, support at least semi-static power sharing between LTE and NR</w:t>
      </w:r>
    </w:p>
    <w:p w14:paraId="0856200A" w14:textId="77777777" w:rsidR="009125D7" w:rsidRPr="006F26E3" w:rsidRDefault="009125D7" w:rsidP="009125D7">
      <w:pPr>
        <w:numPr>
          <w:ilvl w:val="1"/>
          <w:numId w:val="16"/>
        </w:numPr>
        <w:overflowPunct/>
        <w:autoSpaceDE/>
        <w:autoSpaceDN/>
        <w:adjustRightInd/>
        <w:spacing w:after="0"/>
        <w:textAlignment w:val="auto"/>
        <w:rPr>
          <w:rFonts w:eastAsia="MS Mincho"/>
          <w:lang w:eastAsia="ja-JP"/>
        </w:rPr>
      </w:pPr>
      <w:r w:rsidRPr="006F26E3">
        <w:rPr>
          <w:rFonts w:eastAsia="MS Mincho"/>
          <w:lang w:eastAsia="ja-JP"/>
        </w:rPr>
        <w:t>FFS details</w:t>
      </w:r>
    </w:p>
    <w:p w14:paraId="6B17DD39" w14:textId="77777777" w:rsidR="009125D7" w:rsidRPr="00510CE6" w:rsidRDefault="009125D7" w:rsidP="009125D7">
      <w:pPr>
        <w:numPr>
          <w:ilvl w:val="1"/>
          <w:numId w:val="16"/>
        </w:numPr>
        <w:overflowPunct/>
        <w:autoSpaceDE/>
        <w:autoSpaceDN/>
        <w:adjustRightInd/>
        <w:spacing w:after="0"/>
        <w:textAlignment w:val="auto"/>
        <w:rPr>
          <w:rFonts w:eastAsia="MS Mincho"/>
          <w:lang w:eastAsia="ja-JP"/>
        </w:rPr>
      </w:pPr>
      <w:r w:rsidRPr="00510CE6">
        <w:rPr>
          <w:rFonts w:eastAsia="MS Mincho"/>
          <w:lang w:eastAsia="ja-JP"/>
        </w:rPr>
        <w:t>Discuss further whether or not to support dynamic power sharing between LTE and NR</w:t>
      </w:r>
    </w:p>
    <w:p w14:paraId="0B37CA5D" w14:textId="40EB9BD2" w:rsidR="009125D7" w:rsidRDefault="009125D7" w:rsidP="009125D7">
      <w:pPr>
        <w:numPr>
          <w:ilvl w:val="1"/>
          <w:numId w:val="16"/>
        </w:numPr>
        <w:overflowPunct/>
        <w:autoSpaceDE/>
        <w:autoSpaceDN/>
        <w:adjustRightInd/>
        <w:spacing w:after="0"/>
        <w:textAlignment w:val="auto"/>
        <w:rPr>
          <w:rFonts w:eastAsia="MS Mincho"/>
          <w:lang w:eastAsia="ja-JP"/>
        </w:rPr>
      </w:pPr>
      <w:r w:rsidRPr="00510CE6">
        <w:rPr>
          <w:rFonts w:eastAsia="MS Mincho"/>
          <w:lang w:eastAsia="ja-JP"/>
        </w:rPr>
        <w:t xml:space="preserve">Discuss further impacts due to other factors, e.g., different TTI lengths, channel/service types, synchronous vs. asynchronous, different processing latency for LTE vs. NR, assumption regarding communication between NR vs. LTE at UE, specification impact to LTE (if any) and/or NR, etc. </w:t>
      </w:r>
    </w:p>
    <w:p w14:paraId="29C5972A" w14:textId="77777777" w:rsidR="009125D7" w:rsidRPr="009125D7" w:rsidRDefault="009125D7" w:rsidP="009125D7">
      <w:pPr>
        <w:overflowPunct/>
        <w:autoSpaceDE/>
        <w:autoSpaceDN/>
        <w:adjustRightInd/>
        <w:spacing w:after="0"/>
        <w:ind w:left="1440"/>
        <w:textAlignment w:val="auto"/>
        <w:rPr>
          <w:rFonts w:eastAsia="MS Mincho"/>
          <w:lang w:eastAsia="ja-JP"/>
        </w:rPr>
      </w:pPr>
    </w:p>
    <w:p w14:paraId="30FAA9CB" w14:textId="204EAABB" w:rsidR="007D7698" w:rsidRDefault="00460671" w:rsidP="000A3CBA">
      <w:pPr>
        <w:jc w:val="both"/>
      </w:pPr>
      <w:r>
        <w:t>In this contribution,</w:t>
      </w:r>
      <w:r w:rsidR="0086260E">
        <w:t xml:space="preserve"> </w:t>
      </w:r>
      <w:r w:rsidR="00360BC6">
        <w:t>some open issues in</w:t>
      </w:r>
      <w:r w:rsidR="0086260E">
        <w:t xml:space="preserve"> power </w:t>
      </w:r>
      <w:r w:rsidR="009125D7">
        <w:t>sharing</w:t>
      </w:r>
      <w:r w:rsidR="0086260E">
        <w:t xml:space="preserve"> </w:t>
      </w:r>
      <w:r w:rsidR="00360BC6">
        <w:t xml:space="preserve">for </w:t>
      </w:r>
      <w:r w:rsidR="009125D7">
        <w:t>LTE-</w:t>
      </w:r>
      <w:r w:rsidR="00360BC6">
        <w:t xml:space="preserve">NR </w:t>
      </w:r>
      <w:r w:rsidR="009125D7">
        <w:t>DC are</w:t>
      </w:r>
      <w:r w:rsidR="0086260E">
        <w:t xml:space="preserve"> discussed</w:t>
      </w:r>
      <w:r w:rsidR="00AC0746">
        <w:t>.</w:t>
      </w:r>
      <w:r w:rsidR="001A3134">
        <w:t xml:space="preserve"> </w:t>
      </w:r>
    </w:p>
    <w:p w14:paraId="56319AB1" w14:textId="68046E28" w:rsidR="009D357D" w:rsidRDefault="00DC2971" w:rsidP="009D357D">
      <w:pPr>
        <w:pStyle w:val="Heading1"/>
        <w:jc w:val="both"/>
      </w:pPr>
      <w:bookmarkStart w:id="2" w:name="_Ref473802466"/>
      <w:bookmarkStart w:id="3" w:name="_Ref462669569"/>
      <w:r>
        <w:t>Power Sharing</w:t>
      </w:r>
      <w:r w:rsidR="00DE029B">
        <w:t xml:space="preserve"> for LTE-</w:t>
      </w:r>
      <w:r w:rsidR="00544105">
        <w:t>NR DC</w:t>
      </w:r>
      <w:r w:rsidR="004D2238">
        <w:t xml:space="preserve"> </w:t>
      </w:r>
    </w:p>
    <w:p w14:paraId="51F68326" w14:textId="10A608E4" w:rsidR="00DC2971" w:rsidRPr="00DC2971" w:rsidRDefault="00DC2971" w:rsidP="008B1C17">
      <w:pPr>
        <w:jc w:val="both"/>
        <w:rPr>
          <w:lang w:val="en-GB"/>
        </w:rPr>
      </w:pPr>
      <w:r w:rsidRPr="00DC2971">
        <w:rPr>
          <w:lang w:val="en-GB"/>
        </w:rPr>
        <w:t xml:space="preserve">There </w:t>
      </w:r>
      <w:r>
        <w:rPr>
          <w:lang w:val="en-GB"/>
        </w:rPr>
        <w:t>are two types of power sharing between LTE and NR for dual connectivity. One is semi-static power sharing and the other one is dynamic power sharing. Semi-static power sharing has already been agreed as baseline for LTE-NR dual connectivity. With semi-static power sharing, X% power is assigned to LTE, while 1-X% power is given to NR. The value of X can be semi-statically configured by gNB. Semi-static power sharing is a very simple solution which does not need much standardization effort. It does not complicate UE implementation neither. Furthermore, it is an effective solution that works reasonably well for all scenarios for power sharing for LTE-NR DC.</w:t>
      </w:r>
    </w:p>
    <w:p w14:paraId="53374E88" w14:textId="0C03F053" w:rsidR="00DC2971" w:rsidRPr="0071684A" w:rsidRDefault="0071684A" w:rsidP="008B1C17">
      <w:pPr>
        <w:jc w:val="both"/>
        <w:rPr>
          <w:lang w:val="en-GB"/>
        </w:rPr>
      </w:pPr>
      <w:r w:rsidRPr="0071684A">
        <w:rPr>
          <w:lang w:val="en-GB"/>
        </w:rPr>
        <w:t>On the other hand</w:t>
      </w:r>
      <w:r w:rsidR="00DC2971" w:rsidRPr="0071684A">
        <w:rPr>
          <w:lang w:val="en-GB"/>
        </w:rPr>
        <w:t xml:space="preserve">, although the principle of dynamic power control seems simple, in reality it is very complicated. There are 13 pages in </w:t>
      </w:r>
      <w:r w:rsidR="00DC2971" w:rsidRPr="0071684A">
        <w:rPr>
          <w:lang w:val="en-GB"/>
        </w:rPr>
        <w:fldChar w:fldCharType="begin"/>
      </w:r>
      <w:r w:rsidR="00DC2971" w:rsidRPr="0071684A">
        <w:rPr>
          <w:lang w:val="en-GB"/>
        </w:rPr>
        <w:instrText xml:space="preserve"> REF _Ref489627175 \r \h  \* MERGEFORMAT </w:instrText>
      </w:r>
      <w:r w:rsidR="00DC2971" w:rsidRPr="0071684A">
        <w:rPr>
          <w:lang w:val="en-GB"/>
        </w:rPr>
      </w:r>
      <w:r w:rsidR="00DC2971" w:rsidRPr="0071684A">
        <w:rPr>
          <w:lang w:val="en-GB"/>
        </w:rPr>
        <w:fldChar w:fldCharType="separate"/>
      </w:r>
      <w:r w:rsidR="00DC2971" w:rsidRPr="0071684A">
        <w:rPr>
          <w:lang w:val="en-GB"/>
        </w:rPr>
        <w:t>[2]</w:t>
      </w:r>
      <w:r w:rsidR="00DC2971" w:rsidRPr="0071684A">
        <w:rPr>
          <w:lang w:val="en-GB"/>
        </w:rPr>
        <w:fldChar w:fldCharType="end"/>
      </w:r>
      <w:r w:rsidR="00DC2971" w:rsidRPr="0071684A">
        <w:rPr>
          <w:lang w:val="en-GB"/>
        </w:rPr>
        <w:t xml:space="preserve"> just to describe the dynamic power control for LTE </w:t>
      </w:r>
      <w:r w:rsidR="0063418C">
        <w:rPr>
          <w:lang w:val="en-GB"/>
        </w:rPr>
        <w:t xml:space="preserve">MCG and SCG </w:t>
      </w:r>
      <w:r w:rsidR="00DC2971" w:rsidRPr="0071684A">
        <w:rPr>
          <w:lang w:val="en-GB"/>
        </w:rPr>
        <w:t xml:space="preserve">dual connectivity. </w:t>
      </w:r>
      <w:r w:rsidR="002A5763">
        <w:rPr>
          <w:lang w:val="en-GB"/>
        </w:rPr>
        <w:t>In</w:t>
      </w:r>
      <w:r w:rsidR="00DC2971" w:rsidRPr="0071684A">
        <w:rPr>
          <w:lang w:val="en-GB"/>
        </w:rPr>
        <w:t xml:space="preserve"> the </w:t>
      </w:r>
      <w:r w:rsidR="002A5763">
        <w:rPr>
          <w:lang w:val="en-GB"/>
        </w:rPr>
        <w:t>region</w:t>
      </w:r>
      <w:r w:rsidR="00DC2971" w:rsidRPr="0071684A">
        <w:rPr>
          <w:lang w:val="en-GB"/>
        </w:rPr>
        <w:t xml:space="preserve"> of LTE-NR dual connectivity, there are much more complicated scenarios we need deal with such as 1) coexistence of LTE regular TTI, LTE sTTI, and NR 2) LTE CA </w:t>
      </w:r>
      <w:r w:rsidR="007E0CAF">
        <w:rPr>
          <w:lang w:val="en-GB"/>
        </w:rPr>
        <w:t>plus</w:t>
      </w:r>
      <w:r w:rsidR="00DC2971" w:rsidRPr="0071684A">
        <w:rPr>
          <w:lang w:val="en-GB"/>
        </w:rPr>
        <w:t xml:space="preserve"> NR CA</w:t>
      </w:r>
      <w:r w:rsidR="00EC78EC">
        <w:rPr>
          <w:lang w:val="en-GB"/>
        </w:rPr>
        <w:t xml:space="preserve"> than in LTE DC</w:t>
      </w:r>
      <w:r w:rsidR="00DC2971" w:rsidRPr="0071684A">
        <w:rPr>
          <w:lang w:val="en-GB"/>
        </w:rPr>
        <w:t>. Very extensive standardization efforts</w:t>
      </w:r>
      <w:r w:rsidR="009908F1">
        <w:rPr>
          <w:lang w:val="en-GB"/>
        </w:rPr>
        <w:t xml:space="preserve"> including studies and simulations</w:t>
      </w:r>
      <w:r w:rsidR="00DC2971" w:rsidRPr="0071684A">
        <w:rPr>
          <w:lang w:val="en-GB"/>
        </w:rPr>
        <w:t xml:space="preserve"> are required to define a good dynamic power sharing rule for LTE-NR dual connectivity. Given the tight schedule that Rel</w:t>
      </w:r>
      <w:r w:rsidR="00174E50">
        <w:rPr>
          <w:lang w:val="en-GB"/>
        </w:rPr>
        <w:t>.</w:t>
      </w:r>
      <w:r w:rsidR="00DC2971" w:rsidRPr="0071684A">
        <w:rPr>
          <w:lang w:val="en-GB"/>
        </w:rPr>
        <w:t xml:space="preserve"> 15 has to be finished within 2017, we should postpone the study of dynamic power sharing </w:t>
      </w:r>
      <w:r w:rsidR="00531FA6">
        <w:rPr>
          <w:lang w:val="en-GB"/>
        </w:rPr>
        <w:t>until</w:t>
      </w:r>
      <w:r w:rsidR="00DC2971" w:rsidRPr="0071684A">
        <w:rPr>
          <w:lang w:val="en-GB"/>
        </w:rPr>
        <w:t xml:space="preserve"> Rel</w:t>
      </w:r>
      <w:r w:rsidR="00174E50">
        <w:rPr>
          <w:lang w:val="en-GB"/>
        </w:rPr>
        <w:t>.</w:t>
      </w:r>
      <w:r w:rsidR="00DC2971" w:rsidRPr="0071684A">
        <w:rPr>
          <w:lang w:val="en-GB"/>
        </w:rPr>
        <w:t xml:space="preserve"> 16.  </w:t>
      </w:r>
    </w:p>
    <w:p w14:paraId="771C816D" w14:textId="77777777" w:rsidR="0071684A" w:rsidRPr="0071684A" w:rsidRDefault="0071684A" w:rsidP="008B1C17">
      <w:pPr>
        <w:jc w:val="both"/>
        <w:rPr>
          <w:lang w:val="en-GB"/>
        </w:rPr>
      </w:pPr>
      <w:r w:rsidRPr="0071684A">
        <w:rPr>
          <w:lang w:val="en-GB"/>
        </w:rPr>
        <w:t xml:space="preserve">Under the umbrella of dynamic power sharing, some companies have proposed applying LTE DC PCM2 for LTE-NR DC. </w:t>
      </w:r>
      <w:r w:rsidR="00B63C4B" w:rsidRPr="0071684A">
        <w:rPr>
          <w:lang w:val="en-GB"/>
        </w:rPr>
        <w:t xml:space="preserve">In LTE dual connectivity, PCM2 is proposed for asynchronous MCG and SCG. </w:t>
      </w:r>
      <w:r w:rsidR="00BA645D" w:rsidRPr="0071684A">
        <w:rPr>
          <w:lang w:val="en-GB"/>
        </w:rPr>
        <w:t>PCM2 reserves the minimum guaranteed power for each CG</w:t>
      </w:r>
      <w:r w:rsidR="00254A19" w:rsidRPr="0071684A">
        <w:rPr>
          <w:lang w:val="en-GB"/>
        </w:rPr>
        <w:t>, say X% for MCG and Y% for SCG where X%+Y%&lt;100%</w:t>
      </w:r>
      <w:r w:rsidR="00BA645D" w:rsidRPr="0071684A">
        <w:rPr>
          <w:lang w:val="en-GB"/>
        </w:rPr>
        <w:t>. Then the remaining power</w:t>
      </w:r>
      <w:r w:rsidR="00254A19" w:rsidRPr="0071684A">
        <w:rPr>
          <w:lang w:val="en-GB"/>
        </w:rPr>
        <w:t xml:space="preserve"> 1-X%-Y%</w:t>
      </w:r>
      <w:r w:rsidR="00BA645D" w:rsidRPr="0071684A">
        <w:rPr>
          <w:lang w:val="en-GB"/>
        </w:rPr>
        <w:t xml:space="preserve">, is assigned to the CG with the earliest transmission in time. </w:t>
      </w:r>
      <w:r w:rsidR="00207317" w:rsidRPr="0071684A">
        <w:rPr>
          <w:lang w:val="en-GB"/>
        </w:rPr>
        <w:t>Therefore, the remaining power is dynamically shared between two CGs.</w:t>
      </w:r>
      <w:r w:rsidR="00BA645D" w:rsidRPr="0071684A">
        <w:rPr>
          <w:lang w:val="en-GB"/>
        </w:rPr>
        <w:t xml:space="preserve"> </w:t>
      </w:r>
    </w:p>
    <w:p w14:paraId="3CD44DED" w14:textId="5D04B361" w:rsidR="00B63C4B" w:rsidRPr="0071684A" w:rsidRDefault="0071684A" w:rsidP="008B1C17">
      <w:pPr>
        <w:jc w:val="both"/>
        <w:rPr>
          <w:lang w:val="en-GB"/>
        </w:rPr>
      </w:pPr>
      <w:r w:rsidRPr="0071684A">
        <w:rPr>
          <w:lang w:val="en-GB"/>
        </w:rPr>
        <w:t xml:space="preserve">However, PCM2 is not a good solution for LTE-NR power dynamic sharing due to the following reasons. </w:t>
      </w:r>
    </w:p>
    <w:p w14:paraId="7FA710A1" w14:textId="1038B361" w:rsidR="008F141B" w:rsidRDefault="00BA645D" w:rsidP="008B1C17">
      <w:pPr>
        <w:jc w:val="both"/>
        <w:rPr>
          <w:lang w:val="en-GB"/>
        </w:rPr>
      </w:pPr>
      <w:r>
        <w:rPr>
          <w:lang w:val="en-GB"/>
        </w:rPr>
        <w:t xml:space="preserve">First of all, </w:t>
      </w:r>
      <w:r w:rsidR="00DF51FD">
        <w:rPr>
          <w:lang w:val="en-GB"/>
        </w:rPr>
        <w:t xml:space="preserve">PCM2 type of dynamic power sharing schemes requires UE </w:t>
      </w:r>
      <w:r w:rsidR="008F141B">
        <w:rPr>
          <w:lang w:val="en-GB"/>
        </w:rPr>
        <w:t>track both</w:t>
      </w:r>
      <w:r w:rsidR="00DF51FD">
        <w:rPr>
          <w:lang w:val="en-GB"/>
        </w:rPr>
        <w:t xml:space="preserve"> the</w:t>
      </w:r>
      <w:r w:rsidR="008F141B">
        <w:rPr>
          <w:lang w:val="en-GB"/>
        </w:rPr>
        <w:t xml:space="preserve"> LTE and NR timeline and make power sharing decisions jointly for LTE and NR. This requires UE has the capability to communicate between LTE and NR chipset, which will increase the implementation complexity of UE.  </w:t>
      </w:r>
      <w:r w:rsidR="00DF51FD">
        <w:rPr>
          <w:lang w:val="en-GB"/>
        </w:rPr>
        <w:t xml:space="preserve"> </w:t>
      </w:r>
    </w:p>
    <w:p w14:paraId="54D466D8" w14:textId="76927B0B" w:rsidR="004B381C" w:rsidRDefault="008F141B" w:rsidP="008B1C17">
      <w:pPr>
        <w:jc w:val="both"/>
        <w:rPr>
          <w:lang w:val="en-GB"/>
        </w:rPr>
      </w:pPr>
      <w:r>
        <w:rPr>
          <w:lang w:val="en-GB"/>
        </w:rPr>
        <w:t xml:space="preserve">Secondly, </w:t>
      </w:r>
      <w:r w:rsidR="00DA75EA">
        <w:rPr>
          <w:lang w:val="en-GB"/>
        </w:rPr>
        <w:t xml:space="preserve">NR needs to support much flexible scheduling timeline. In other words, the delay or interval between UE receives UL grant and UE starts the corresponding transmission, which is denoted as K2 in unit of slots or N2 in unit of OFDM symbols, can be much more </w:t>
      </w:r>
      <w:r>
        <w:rPr>
          <w:lang w:val="en-GB"/>
        </w:rPr>
        <w:t>flexible</w:t>
      </w:r>
      <w:r w:rsidR="00DA75EA">
        <w:rPr>
          <w:lang w:val="en-GB"/>
        </w:rPr>
        <w:t xml:space="preserve"> than in LTE. With this </w:t>
      </w:r>
      <w:r>
        <w:rPr>
          <w:lang w:val="en-GB"/>
        </w:rPr>
        <w:t>flexible</w:t>
      </w:r>
      <w:r w:rsidR="00DA75EA">
        <w:rPr>
          <w:lang w:val="en-GB"/>
        </w:rPr>
        <w:t xml:space="preserve"> K2 or N2, the definition is “the earliest” transmission in </w:t>
      </w:r>
      <w:r w:rsidR="00DA75EA">
        <w:rPr>
          <w:lang w:val="en-GB"/>
        </w:rPr>
        <w:lastRenderedPageBreak/>
        <w:t>time is ambiguous. If “the earliest” is referring to the earli</w:t>
      </w:r>
      <w:r w:rsidR="004B381C">
        <w:rPr>
          <w:lang w:val="en-GB"/>
        </w:rPr>
        <w:t xml:space="preserve">est actual PUSCH transmission, then it has </w:t>
      </w:r>
      <w:r w:rsidR="00BB76C9">
        <w:rPr>
          <w:lang w:val="en-GB"/>
        </w:rPr>
        <w:t>a big impact to UE processing timeline as shown</w:t>
      </w:r>
      <w:r w:rsidR="00DC5541">
        <w:rPr>
          <w:lang w:val="en-GB"/>
        </w:rPr>
        <w:t xml:space="preserve"> in the following scenario</w:t>
      </w:r>
      <w:r w:rsidR="009B3EE3">
        <w:rPr>
          <w:lang w:val="en-GB"/>
        </w:rPr>
        <w:t xml:space="preserve"> </w:t>
      </w:r>
      <w:r w:rsidR="004B381C">
        <w:rPr>
          <w:lang w:val="en-GB"/>
        </w:rPr>
        <w:t>in</w:t>
      </w:r>
      <w:r w:rsidR="00207317">
        <w:rPr>
          <w:lang w:val="en-GB"/>
        </w:rPr>
        <w:t xml:space="preserve"> </w:t>
      </w:r>
      <w:r w:rsidR="00207317">
        <w:rPr>
          <w:lang w:val="en-GB"/>
        </w:rPr>
        <w:fldChar w:fldCharType="begin"/>
      </w:r>
      <w:r w:rsidR="00207317">
        <w:rPr>
          <w:lang w:val="en-GB"/>
        </w:rPr>
        <w:instrText xml:space="preserve"> REF _Ref477973495 \h </w:instrText>
      </w:r>
      <w:r w:rsidR="00207317">
        <w:rPr>
          <w:lang w:val="en-GB"/>
        </w:rPr>
      </w:r>
      <w:r w:rsidR="00207317">
        <w:rPr>
          <w:lang w:val="en-GB"/>
        </w:rPr>
        <w:fldChar w:fldCharType="separate"/>
      </w:r>
      <w:r w:rsidR="00207317" w:rsidRPr="004D5E14">
        <w:rPr>
          <w:b/>
        </w:rPr>
        <w:t xml:space="preserve">Figure </w:t>
      </w:r>
      <w:r w:rsidR="00207317">
        <w:rPr>
          <w:b/>
          <w:noProof/>
        </w:rPr>
        <w:t>1</w:t>
      </w:r>
      <w:r w:rsidR="00207317">
        <w:rPr>
          <w:lang w:val="en-GB"/>
        </w:rPr>
        <w:fldChar w:fldCharType="end"/>
      </w:r>
      <w:r w:rsidR="00207317">
        <w:rPr>
          <w:lang w:val="en-GB"/>
        </w:rPr>
        <w:t xml:space="preserve">. In this example, UE </w:t>
      </w:r>
      <w:r w:rsidR="00BB76C9">
        <w:rPr>
          <w:lang w:val="en-GB"/>
        </w:rPr>
        <w:t>can</w:t>
      </w:r>
      <w:r w:rsidR="00207317">
        <w:rPr>
          <w:lang w:val="en-GB"/>
        </w:rPr>
        <w:t xml:space="preserve">not determine the power for LTE PUSCH transmission until it decodes the NR UL grant, which significantly reduced the time budget for LTE PUSCH waveform generation. </w:t>
      </w:r>
      <w:r>
        <w:rPr>
          <w:lang w:val="en-GB"/>
        </w:rPr>
        <w:t>Without dynamic power sharing, suppose LTE process timeline needs 1</w:t>
      </w:r>
      <w:r w:rsidR="009B3EE3">
        <w:rPr>
          <w:lang w:val="en-GB"/>
        </w:rPr>
        <w:t xml:space="preserve"> subframe (1ms) to decode UL grant, it has 2 subframes (2ms) to generate the PUSCH waveform. With dynamic power sharing, it only has 0.5ms to prepare the PUSCH waveform, which make it extremely difficult for LTE PUSCH waveform generation, if not impossible. </w:t>
      </w:r>
      <w:r w:rsidR="008318CB">
        <w:rPr>
          <w:lang w:val="en-GB"/>
        </w:rPr>
        <w:t xml:space="preserve">One alternative way to define “the earliest” referring the reception of UL grant. </w:t>
      </w:r>
      <w:r w:rsidR="00057338">
        <w:rPr>
          <w:lang w:val="en-GB"/>
        </w:rPr>
        <w:t xml:space="preserve">In the same example as in </w:t>
      </w:r>
      <w:r w:rsidR="00057338">
        <w:rPr>
          <w:lang w:val="en-GB"/>
        </w:rPr>
        <w:fldChar w:fldCharType="begin"/>
      </w:r>
      <w:r w:rsidR="00057338">
        <w:rPr>
          <w:lang w:val="en-GB"/>
        </w:rPr>
        <w:instrText xml:space="preserve"> REF _Ref477973495 \h </w:instrText>
      </w:r>
      <w:r w:rsidR="00057338">
        <w:rPr>
          <w:lang w:val="en-GB"/>
        </w:rPr>
      </w:r>
      <w:r w:rsidR="00057338">
        <w:rPr>
          <w:lang w:val="en-GB"/>
        </w:rPr>
        <w:fldChar w:fldCharType="separate"/>
      </w:r>
      <w:r w:rsidR="00057338" w:rsidRPr="004D5E14">
        <w:rPr>
          <w:b/>
        </w:rPr>
        <w:t xml:space="preserve">Figure </w:t>
      </w:r>
      <w:r w:rsidR="00057338">
        <w:rPr>
          <w:b/>
          <w:noProof/>
        </w:rPr>
        <w:t>1</w:t>
      </w:r>
      <w:r w:rsidR="00057338">
        <w:rPr>
          <w:lang w:val="en-GB"/>
        </w:rPr>
        <w:fldChar w:fldCharType="end"/>
      </w:r>
      <w:r w:rsidR="00057338">
        <w:rPr>
          <w:lang w:val="en-GB"/>
        </w:rPr>
        <w:t xml:space="preserve">, assuming PDCCH decoding time is the same for LTE and NR, with “the earliest” UL grant decoding, UE decides that LTE PUSCH gets the remaining extra power. This relaxes the LTE PUSCH processing timeline. However, it does not make much sense in reality. </w:t>
      </w:r>
      <w:r w:rsidR="00126871">
        <w:rPr>
          <w:lang w:val="en-GB"/>
        </w:rPr>
        <w:t xml:space="preserve">The NR has back-to-back UL grant and UL PUSCH may be because NR need transmit time critical PUSCH, e.g. URLLC. But URLLC does not get enough power to transmit because </w:t>
      </w:r>
      <w:r w:rsidR="00254A19">
        <w:rPr>
          <w:lang w:val="en-GB"/>
        </w:rPr>
        <w:t>the</w:t>
      </w:r>
      <w:r w:rsidR="00126871">
        <w:rPr>
          <w:lang w:val="en-GB"/>
        </w:rPr>
        <w:t xml:space="preserve"> remaining power is assigned to LTE PUSCH, which actually happens after NR URLLC PUSCH transmission. Therefore, this rule of “earliest transmission” referring to UL grant decoding does not make sense in certain scenarios.</w:t>
      </w:r>
    </w:p>
    <w:p w14:paraId="1BBED0CC" w14:textId="7F35E68F" w:rsidR="004B381C" w:rsidRPr="005010C6" w:rsidRDefault="00DA75EA" w:rsidP="004B381C">
      <w:pPr>
        <w:jc w:val="center"/>
      </w:pPr>
      <w:r>
        <w:rPr>
          <w:lang w:val="en-GB"/>
        </w:rPr>
        <w:t xml:space="preserve"> </w:t>
      </w:r>
      <w:r w:rsidR="00207317">
        <w:object w:dxaOrig="9860" w:dyaOrig="3578" w14:anchorId="76224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7pt;height:142.7pt" o:ole="">
            <v:imagedata r:id="rId12" o:title=""/>
          </v:shape>
          <o:OLEObject Type="Embed" ProgID="Visio.Drawing.11" ShapeID="_x0000_i1025" DrawAspect="Content" ObjectID="_1563979649" r:id="rId13"/>
        </w:object>
      </w:r>
    </w:p>
    <w:p w14:paraId="025CDEE1" w14:textId="6F833CF6" w:rsidR="004B381C" w:rsidRDefault="004B381C" w:rsidP="004B381C">
      <w:pPr>
        <w:jc w:val="center"/>
        <w:rPr>
          <w:lang w:val="en-GB"/>
        </w:rPr>
      </w:pPr>
      <w:bookmarkStart w:id="4" w:name="_Ref47797349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w:t>
      </w:r>
      <w:r w:rsidRPr="004D5E14">
        <w:rPr>
          <w:b/>
          <w:noProof/>
        </w:rPr>
        <w:fldChar w:fldCharType="end"/>
      </w:r>
      <w:bookmarkEnd w:id="4"/>
      <w:r w:rsidRPr="004D5E14">
        <w:rPr>
          <w:b/>
        </w:rPr>
        <w:t xml:space="preserve">: </w:t>
      </w:r>
      <w:r>
        <w:rPr>
          <w:b/>
        </w:rPr>
        <w:t>Different K2 or N2 values for LTE and NR</w:t>
      </w:r>
      <w:r w:rsidR="009B3EE3">
        <w:rPr>
          <w:b/>
        </w:rPr>
        <w:t xml:space="preserve"> </w:t>
      </w:r>
    </w:p>
    <w:p w14:paraId="44F09DC2" w14:textId="3C564651" w:rsidR="00B63C4B" w:rsidRDefault="00B63C4B" w:rsidP="008B1C17">
      <w:pPr>
        <w:jc w:val="both"/>
        <w:rPr>
          <w:lang w:val="en-GB"/>
        </w:rPr>
      </w:pPr>
    </w:p>
    <w:p w14:paraId="6305F5CE" w14:textId="77C6C3DF" w:rsidR="00DA75EA" w:rsidRDefault="00CD699D" w:rsidP="008B1C17">
      <w:pPr>
        <w:jc w:val="both"/>
        <w:rPr>
          <w:lang w:val="en-GB"/>
        </w:rPr>
      </w:pPr>
      <w:r>
        <w:rPr>
          <w:lang w:val="en-GB"/>
        </w:rPr>
        <w:t>Thirdly, o</w:t>
      </w:r>
      <w:r w:rsidR="00A815BE">
        <w:rPr>
          <w:lang w:val="en-GB"/>
        </w:rPr>
        <w:t>n top of the flexible scheduling timeline</w:t>
      </w:r>
      <w:r w:rsidR="00AB71EE">
        <w:rPr>
          <w:lang w:val="en-GB"/>
        </w:rPr>
        <w:t xml:space="preserve">, </w:t>
      </w:r>
      <w:r w:rsidR="00A815BE">
        <w:rPr>
          <w:lang w:val="en-GB"/>
        </w:rPr>
        <w:t>NR can support different numerology then LTE. Furthermore, the service/traffic type can be different between LTE and NR.</w:t>
      </w:r>
      <w:r w:rsidR="00AB71EE">
        <w:rPr>
          <w:lang w:val="en-GB"/>
        </w:rPr>
        <w:t xml:space="preserve"> </w:t>
      </w:r>
      <w:r w:rsidR="00A815BE">
        <w:rPr>
          <w:lang w:val="en-GB"/>
        </w:rPr>
        <w:t xml:space="preserve">All these factors make </w:t>
      </w:r>
      <w:r w:rsidR="00D432D8">
        <w:rPr>
          <w:lang w:val="en-GB"/>
        </w:rPr>
        <w:t>it very hard to define a reasonable dynamic power sharing</w:t>
      </w:r>
      <w:r w:rsidR="00AB71EE">
        <w:rPr>
          <w:lang w:val="en-GB"/>
        </w:rPr>
        <w:t>.</w:t>
      </w:r>
      <w:r w:rsidR="00D432D8">
        <w:rPr>
          <w:lang w:val="en-GB"/>
        </w:rPr>
        <w:t xml:space="preserve"> For example, as shown in </w:t>
      </w:r>
      <w:r w:rsidR="00AB71EE">
        <w:rPr>
          <w:lang w:val="en-GB"/>
        </w:rPr>
        <w:t xml:space="preserve"> </w:t>
      </w:r>
      <w:r w:rsidR="00254A19">
        <w:rPr>
          <w:lang w:val="en-GB"/>
        </w:rPr>
        <w:fldChar w:fldCharType="begin"/>
      </w:r>
      <w:r w:rsidR="00254A19">
        <w:rPr>
          <w:lang w:val="en-GB"/>
        </w:rPr>
        <w:instrText xml:space="preserve"> REF _Ref489461086 \h </w:instrText>
      </w:r>
      <w:r w:rsidR="00254A19">
        <w:rPr>
          <w:lang w:val="en-GB"/>
        </w:rPr>
      </w:r>
      <w:r w:rsidR="00254A19">
        <w:rPr>
          <w:lang w:val="en-GB"/>
        </w:rPr>
        <w:fldChar w:fldCharType="separate"/>
      </w:r>
      <w:r w:rsidR="00254A19" w:rsidRPr="004D5E14">
        <w:rPr>
          <w:b/>
        </w:rPr>
        <w:t xml:space="preserve">Figure </w:t>
      </w:r>
      <w:r w:rsidR="00254A19">
        <w:rPr>
          <w:b/>
          <w:noProof/>
        </w:rPr>
        <w:t>2</w:t>
      </w:r>
      <w:r w:rsidR="00254A19">
        <w:rPr>
          <w:lang w:val="en-GB"/>
        </w:rPr>
        <w:fldChar w:fldCharType="end"/>
      </w:r>
      <w:r w:rsidR="00254A19">
        <w:rPr>
          <w:lang w:val="en-GB"/>
        </w:rPr>
        <w:t xml:space="preserve">, NR has much smaller TTI than LTE due to different numerology. With the TTI for LTE PUSCH, NR has a URLLC traffic schedule for UL transmission. </w:t>
      </w:r>
      <w:r w:rsidR="000D77DE">
        <w:rPr>
          <w:lang w:val="en-GB"/>
        </w:rPr>
        <w:t>A reasonable dynamic power sharing rule should reserve the remaining 1-X%-Y% of power to NR for the URLLC transmission. However, since the LTE PUSCH transmission occurs before NR URLLC, it seems impossible for UE to define a feasible dynamic power sharing rule to reserve the remaining power, simply because UE does not know future URLLC traffic arrivals. Therefore, NR URLLC traffic only gets Y% transmission power. However, even with a straightforward semi-static power spitting, NR URLLC traffic can get more power than Y%, just with static splitting of the remaining 1-X%-Y% power between LTE and NR.</w:t>
      </w:r>
      <w:r w:rsidR="00FA0D7E">
        <w:rPr>
          <w:lang w:val="en-GB"/>
        </w:rPr>
        <w:t xml:space="preserve"> Therefore, </w:t>
      </w:r>
      <w:r w:rsidR="0071684A">
        <w:rPr>
          <w:lang w:val="en-GB"/>
        </w:rPr>
        <w:t xml:space="preserve">the simple </w:t>
      </w:r>
      <w:r w:rsidR="00FA0D7E">
        <w:rPr>
          <w:lang w:val="en-GB"/>
        </w:rPr>
        <w:t xml:space="preserve">semi-static power sharing is even better than dynamic power sharing in </w:t>
      </w:r>
      <w:r w:rsidR="0071684A">
        <w:rPr>
          <w:lang w:val="en-GB"/>
        </w:rPr>
        <w:t>this scenario</w:t>
      </w:r>
      <w:r w:rsidR="00FA0D7E">
        <w:rPr>
          <w:lang w:val="en-GB"/>
        </w:rPr>
        <w:t>.</w:t>
      </w:r>
    </w:p>
    <w:p w14:paraId="577F37DD" w14:textId="39325AF0" w:rsidR="00D432D8" w:rsidRPr="005010C6" w:rsidRDefault="00254A19" w:rsidP="00D432D8">
      <w:pPr>
        <w:jc w:val="center"/>
      </w:pPr>
      <w:r>
        <w:object w:dxaOrig="9860" w:dyaOrig="3896" w14:anchorId="321E8273">
          <v:shape id="_x0000_i1026" type="#_x0000_t75" style="width:442.7pt;height:155.15pt" o:ole="">
            <v:imagedata r:id="rId14" o:title=""/>
          </v:shape>
          <o:OLEObject Type="Embed" ProgID="Visio.Drawing.11" ShapeID="_x0000_i1026" DrawAspect="Content" ObjectID="_1563979650" r:id="rId15"/>
        </w:object>
      </w:r>
    </w:p>
    <w:p w14:paraId="468EFB11" w14:textId="2FDE1FBA" w:rsidR="00D432D8" w:rsidRDefault="00D432D8" w:rsidP="00D432D8">
      <w:pPr>
        <w:jc w:val="center"/>
        <w:rPr>
          <w:lang w:val="en-GB"/>
        </w:rPr>
      </w:pPr>
      <w:bookmarkStart w:id="5" w:name="_Ref48946108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2</w:t>
      </w:r>
      <w:r w:rsidRPr="004D5E14">
        <w:rPr>
          <w:b/>
          <w:noProof/>
        </w:rPr>
        <w:fldChar w:fldCharType="end"/>
      </w:r>
      <w:bookmarkEnd w:id="5"/>
      <w:r w:rsidRPr="004D5E14">
        <w:rPr>
          <w:b/>
        </w:rPr>
        <w:t xml:space="preserve">: </w:t>
      </w:r>
      <w:r>
        <w:rPr>
          <w:b/>
        </w:rPr>
        <w:t xml:space="preserve">Different </w:t>
      </w:r>
      <w:r w:rsidR="00254A19">
        <w:rPr>
          <w:b/>
        </w:rPr>
        <w:t>numerology and service type between LTE and NR</w:t>
      </w:r>
      <w:r>
        <w:rPr>
          <w:b/>
        </w:rPr>
        <w:t xml:space="preserve"> </w:t>
      </w:r>
    </w:p>
    <w:p w14:paraId="585C0084" w14:textId="623960BB" w:rsidR="00CD699D" w:rsidRDefault="00CD699D" w:rsidP="008B1C17">
      <w:pPr>
        <w:jc w:val="both"/>
        <w:rPr>
          <w:lang w:val="en-GB"/>
        </w:rPr>
      </w:pPr>
      <w:r w:rsidRPr="00EC78EC">
        <w:rPr>
          <w:lang w:val="en-GB"/>
        </w:rPr>
        <w:lastRenderedPageBreak/>
        <w:t xml:space="preserve">Last but not least, dynamic power sharing for LTE-NR has to support complicated scenarios such as 1) coexistence of LTE regular TTI, LTE sTTI, and NR 2) LTE CA plus NR CA. </w:t>
      </w:r>
      <w:r w:rsidR="00EC78EC" w:rsidRPr="00EC78EC">
        <w:rPr>
          <w:lang w:val="en-GB"/>
        </w:rPr>
        <w:t xml:space="preserve">Apparently </w:t>
      </w:r>
      <w:r w:rsidRPr="00EC78EC">
        <w:rPr>
          <w:lang w:val="en-GB"/>
        </w:rPr>
        <w:t xml:space="preserve">PCM2 does not </w:t>
      </w:r>
      <w:r w:rsidR="00EC78EC" w:rsidRPr="00EC78EC">
        <w:rPr>
          <w:lang w:val="en-GB"/>
        </w:rPr>
        <w:t xml:space="preserve">work well in </w:t>
      </w:r>
      <w:r w:rsidRPr="00EC78EC">
        <w:rPr>
          <w:lang w:val="en-GB"/>
        </w:rPr>
        <w:t xml:space="preserve">those </w:t>
      </w:r>
      <w:r w:rsidR="00EC78EC" w:rsidRPr="00EC78EC">
        <w:rPr>
          <w:lang w:val="en-GB"/>
        </w:rPr>
        <w:t>scenarios because it was not designed for those scenarios at the first place.</w:t>
      </w:r>
    </w:p>
    <w:p w14:paraId="218D72C7" w14:textId="7BE639DB" w:rsidR="009B3EE3" w:rsidRDefault="00E86F53" w:rsidP="008B1C17">
      <w:pPr>
        <w:jc w:val="both"/>
        <w:rPr>
          <w:lang w:val="en-GB"/>
        </w:rPr>
      </w:pPr>
      <w:r>
        <w:rPr>
          <w:lang w:val="en-GB"/>
        </w:rPr>
        <w:t xml:space="preserve">In summary, </w:t>
      </w:r>
      <w:r w:rsidR="00FA0D7E">
        <w:rPr>
          <w:lang w:val="en-GB"/>
        </w:rPr>
        <w:t xml:space="preserve">even </w:t>
      </w:r>
      <w:r w:rsidR="003B5358">
        <w:rPr>
          <w:lang w:val="en-GB"/>
        </w:rPr>
        <w:t xml:space="preserve">with </w:t>
      </w:r>
      <w:r w:rsidR="00FA0D7E">
        <w:rPr>
          <w:lang w:val="en-GB"/>
        </w:rPr>
        <w:t>UE pay</w:t>
      </w:r>
      <w:r w:rsidR="009B6016">
        <w:rPr>
          <w:lang w:val="en-GB"/>
        </w:rPr>
        <w:t>ing</w:t>
      </w:r>
      <w:r w:rsidR="00FA0D7E">
        <w:rPr>
          <w:lang w:val="en-GB"/>
        </w:rPr>
        <w:t xml:space="preserve"> the price of complicated implementation to allow communication and coordination between LTE and NR chipset, </w:t>
      </w:r>
      <w:r w:rsidR="00CD699D">
        <w:rPr>
          <w:lang w:val="en-GB"/>
        </w:rPr>
        <w:t>PCM2 does not work well in many scenarios as mentioned before. RAN1 has to find a better solution than PCM2 for LTE-NR DC. Given the schedule of release 15, i</w:t>
      </w:r>
      <w:r w:rsidR="003B5358">
        <w:rPr>
          <w:lang w:val="en-GB"/>
        </w:rPr>
        <w:t xml:space="preserve">t is very difficult to finalize the standardization of dynamic power sharing rule in release 15, </w:t>
      </w:r>
      <w:r>
        <w:rPr>
          <w:lang w:val="en-GB"/>
        </w:rPr>
        <w:t xml:space="preserve">due to the </w:t>
      </w:r>
      <w:r w:rsidR="003D4950">
        <w:rPr>
          <w:lang w:val="en-GB"/>
        </w:rPr>
        <w:t>above mentioned</w:t>
      </w:r>
      <w:r>
        <w:rPr>
          <w:lang w:val="en-GB"/>
        </w:rPr>
        <w:t xml:space="preserve"> </w:t>
      </w:r>
      <w:r w:rsidR="003B5358">
        <w:rPr>
          <w:lang w:val="en-GB"/>
        </w:rPr>
        <w:t>technical challenges that RAN1 need</w:t>
      </w:r>
      <w:r w:rsidR="003D4950">
        <w:rPr>
          <w:lang w:val="en-GB"/>
        </w:rPr>
        <w:t>s to</w:t>
      </w:r>
      <w:r w:rsidR="003B5358">
        <w:rPr>
          <w:lang w:val="en-GB"/>
        </w:rPr>
        <w:t xml:space="preserve"> deal with</w:t>
      </w:r>
      <w:r w:rsidR="00CE67ED">
        <w:rPr>
          <w:lang w:val="en-GB"/>
        </w:rPr>
        <w:t>.</w:t>
      </w:r>
    </w:p>
    <w:p w14:paraId="77FBDC29" w14:textId="5A81F43F" w:rsidR="003B5358" w:rsidRDefault="003B5358" w:rsidP="008B1C17">
      <w:pPr>
        <w:jc w:val="both"/>
        <w:rPr>
          <w:lang w:val="en-GB"/>
        </w:rPr>
      </w:pPr>
      <w:r>
        <w:rPr>
          <w:lang w:val="en-GB"/>
        </w:rPr>
        <w:t>Therefore, we have the following proposal for LTE-NR power sharing,</w:t>
      </w:r>
    </w:p>
    <w:p w14:paraId="68C8F45E" w14:textId="31B876C9" w:rsidR="00FA0D7E" w:rsidRPr="00FA0D7E" w:rsidRDefault="00FA0D7E" w:rsidP="008B1C17">
      <w:pPr>
        <w:jc w:val="both"/>
        <w:rPr>
          <w:b/>
          <w:i/>
          <w:lang w:val="en-GB"/>
        </w:rPr>
      </w:pPr>
      <w:r>
        <w:rPr>
          <w:b/>
          <w:i/>
          <w:u w:val="single"/>
          <w:lang w:val="en-GB"/>
        </w:rPr>
        <w:t>Proposal 1:</w:t>
      </w:r>
      <w:r w:rsidRPr="00C968B6">
        <w:rPr>
          <w:b/>
          <w:i/>
          <w:lang w:val="en-GB"/>
        </w:rPr>
        <w:t xml:space="preserve"> </w:t>
      </w:r>
      <w:r w:rsidR="00E2222A">
        <w:rPr>
          <w:b/>
          <w:i/>
          <w:lang w:val="en-GB"/>
        </w:rPr>
        <w:t xml:space="preserve">In </w:t>
      </w:r>
      <w:r w:rsidR="0071684A">
        <w:rPr>
          <w:b/>
          <w:i/>
          <w:lang w:val="en-GB"/>
        </w:rPr>
        <w:t>r</w:t>
      </w:r>
      <w:r w:rsidR="00E2222A">
        <w:rPr>
          <w:b/>
          <w:i/>
          <w:lang w:val="en-GB"/>
        </w:rPr>
        <w:t>el</w:t>
      </w:r>
      <w:r w:rsidR="0071684A">
        <w:rPr>
          <w:b/>
          <w:i/>
          <w:lang w:val="en-GB"/>
        </w:rPr>
        <w:t>ease</w:t>
      </w:r>
      <w:r w:rsidR="00E2222A">
        <w:rPr>
          <w:b/>
          <w:i/>
          <w:lang w:val="en-GB"/>
        </w:rPr>
        <w:t xml:space="preserve"> 15, </w:t>
      </w:r>
      <w:r w:rsidR="0071684A">
        <w:rPr>
          <w:b/>
          <w:i/>
          <w:lang w:val="en-GB"/>
        </w:rPr>
        <w:t xml:space="preserve">only </w:t>
      </w:r>
      <w:r w:rsidR="00E2222A">
        <w:rPr>
          <w:b/>
          <w:i/>
          <w:lang w:val="en-GB"/>
        </w:rPr>
        <w:t>s</w:t>
      </w:r>
      <w:r>
        <w:rPr>
          <w:b/>
          <w:i/>
          <w:lang w:val="en-GB"/>
        </w:rPr>
        <w:t>upport semi-static power sharing with X% power assigned to LTE and 1-X% power assigned to NR where X is semi-statically configured.</w:t>
      </w:r>
      <w:r w:rsidR="0071684A">
        <w:rPr>
          <w:b/>
          <w:i/>
          <w:lang w:val="en-GB"/>
        </w:rPr>
        <w:t xml:space="preserve"> Study dynamic power sharing in later release. </w:t>
      </w:r>
    </w:p>
    <w:p w14:paraId="7300C8B8" w14:textId="70EC288C" w:rsidR="007B2029" w:rsidRDefault="009E723D" w:rsidP="007B2029">
      <w:pPr>
        <w:pStyle w:val="Heading1"/>
        <w:jc w:val="both"/>
      </w:pPr>
      <w:r>
        <w:t>Power headroom report</w:t>
      </w:r>
      <w:r w:rsidR="0003363E">
        <w:t xml:space="preserve"> for LTE-</w:t>
      </w:r>
      <w:r w:rsidR="00544105">
        <w:t>NR DC</w:t>
      </w:r>
    </w:p>
    <w:p w14:paraId="79979D85" w14:textId="0CD431B6" w:rsidR="005A09B1" w:rsidRDefault="007E4871" w:rsidP="00B7005D">
      <w:pPr>
        <w:jc w:val="both"/>
        <w:rPr>
          <w:lang w:val="en-GB"/>
        </w:rPr>
      </w:pPr>
      <w:bookmarkStart w:id="6" w:name="_Ref463027406"/>
      <w:bookmarkStart w:id="7" w:name="_Ref465963195"/>
      <w:bookmarkStart w:id="8" w:name="_Ref466040522"/>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bookmarkEnd w:id="2"/>
      <w:bookmarkEnd w:id="3"/>
      <w:r>
        <w:rPr>
          <w:lang w:val="en-GB"/>
        </w:rPr>
        <w:t xml:space="preserve">When semi-static power sharing is applied to LTE-NR DC, it is straightforward to support separate power headroom calculation and report for NR and LTE. With separate PHR for LTE and NR, </w:t>
      </w:r>
      <w:r w:rsidR="0073606E">
        <w:rPr>
          <w:lang w:val="en-GB"/>
        </w:rPr>
        <w:t xml:space="preserve">when a PHR for LTE is due while the PHR for NR is not due, UE could send a companion PHR for NR as well. On the other hand, when a PHR for NR is due but the PHR for LTE is not due, UE could send a companion PHR for LTE. The companion LTE PHR or NR PHR can be a virtual PHR if there is no actual UL transmission on LTE or NR. </w:t>
      </w:r>
      <w:bookmarkStart w:id="16" w:name="_GoBack"/>
      <w:bookmarkEnd w:id="16"/>
    </w:p>
    <w:p w14:paraId="697E3A36" w14:textId="010D0ADB" w:rsidR="0073606E" w:rsidRPr="0073606E" w:rsidRDefault="0073606E" w:rsidP="00B7005D">
      <w:pPr>
        <w:jc w:val="both"/>
        <w:rPr>
          <w:b/>
          <w:i/>
          <w:lang w:val="en-GB"/>
        </w:rPr>
      </w:pPr>
      <w:r>
        <w:rPr>
          <w:b/>
          <w:i/>
          <w:u w:val="single"/>
          <w:lang w:val="en-GB"/>
        </w:rPr>
        <w:t>Proposal 2:</w:t>
      </w:r>
      <w:r w:rsidRPr="00C968B6">
        <w:rPr>
          <w:b/>
          <w:i/>
          <w:lang w:val="en-GB"/>
        </w:rPr>
        <w:t xml:space="preserve"> </w:t>
      </w:r>
      <w:r>
        <w:rPr>
          <w:b/>
          <w:i/>
          <w:lang w:val="en-GB"/>
        </w:rPr>
        <w:t>Support separate PHR for LTE and NR with LTE-NR DC.</w:t>
      </w:r>
    </w:p>
    <w:p w14:paraId="130A289D" w14:textId="4C8AEF94" w:rsidR="00E168E5" w:rsidRDefault="006341FE" w:rsidP="000A3CBA">
      <w:pPr>
        <w:pStyle w:val="Heading1"/>
        <w:jc w:val="both"/>
      </w:pPr>
      <w:r>
        <w:t>Conclusions</w:t>
      </w:r>
      <w:bookmarkEnd w:id="6"/>
      <w:bookmarkEnd w:id="7"/>
      <w:bookmarkEnd w:id="8"/>
    </w:p>
    <w:bookmarkEnd w:id="9"/>
    <w:bookmarkEnd w:id="10"/>
    <w:bookmarkEnd w:id="11"/>
    <w:bookmarkEnd w:id="12"/>
    <w:bookmarkEnd w:id="13"/>
    <w:bookmarkEnd w:id="14"/>
    <w:bookmarkEnd w:id="15"/>
    <w:p w14:paraId="09B3E83F" w14:textId="0D7B6DFD" w:rsidR="00521D24" w:rsidRPr="00914127" w:rsidRDefault="00B425D3" w:rsidP="000A3CBA">
      <w:pPr>
        <w:jc w:val="both"/>
        <w:rPr>
          <w:i/>
          <w:u w:val="single"/>
          <w:lang w:val="en-GB"/>
        </w:rPr>
      </w:pPr>
      <w:r w:rsidRPr="00914127">
        <w:rPr>
          <w:lang w:val="en-GB"/>
        </w:rPr>
        <w:t xml:space="preserve">The following proposals are for </w:t>
      </w:r>
      <w:r w:rsidR="002965C1">
        <w:rPr>
          <w:lang w:val="en-GB"/>
        </w:rPr>
        <w:t xml:space="preserve">uplink power </w:t>
      </w:r>
      <w:r w:rsidR="009E60FE">
        <w:rPr>
          <w:lang w:val="en-GB"/>
        </w:rPr>
        <w:t>sharing between LTE and NR</w:t>
      </w:r>
      <w:r w:rsidRPr="00914127">
        <w:rPr>
          <w:lang w:val="en-GB"/>
        </w:rPr>
        <w:t>.</w:t>
      </w:r>
      <w:r w:rsidR="00A43963" w:rsidRPr="00914127">
        <w:rPr>
          <w:i/>
          <w:u w:val="single"/>
          <w:lang w:val="en-GB"/>
        </w:rPr>
        <w:t xml:space="preserve"> </w:t>
      </w:r>
    </w:p>
    <w:p w14:paraId="78D4962E" w14:textId="77777777" w:rsidR="009E0DB6" w:rsidRPr="00FA0D7E" w:rsidRDefault="009E0DB6" w:rsidP="009E0DB6">
      <w:pPr>
        <w:jc w:val="both"/>
        <w:rPr>
          <w:b/>
          <w:i/>
          <w:lang w:val="en-GB"/>
        </w:rPr>
      </w:pPr>
      <w:r>
        <w:rPr>
          <w:b/>
          <w:i/>
          <w:u w:val="single"/>
          <w:lang w:val="en-GB"/>
        </w:rPr>
        <w:t>Proposal 1:</w:t>
      </w:r>
      <w:r w:rsidRPr="00C968B6">
        <w:rPr>
          <w:b/>
          <w:i/>
          <w:lang w:val="en-GB"/>
        </w:rPr>
        <w:t xml:space="preserve"> </w:t>
      </w:r>
      <w:r>
        <w:rPr>
          <w:b/>
          <w:i/>
          <w:lang w:val="en-GB"/>
        </w:rPr>
        <w:t xml:space="preserve">In release 15, only support semi-static power sharing with X% power assigned to LTE and 1-X% power assigned to NR where X is semi-statically configured. Study dynamic power sharing in later release. </w:t>
      </w:r>
    </w:p>
    <w:p w14:paraId="3345FFD7" w14:textId="229B1C86" w:rsidR="0015233A" w:rsidRPr="00FA0D7E" w:rsidRDefault="0015233A" w:rsidP="00FA0D7E">
      <w:pPr>
        <w:jc w:val="both"/>
        <w:rPr>
          <w:b/>
          <w:i/>
          <w:lang w:val="en-GB"/>
        </w:rPr>
      </w:pPr>
      <w:r>
        <w:rPr>
          <w:b/>
          <w:i/>
          <w:u w:val="single"/>
          <w:lang w:val="en-GB"/>
        </w:rPr>
        <w:t>Proposal 2:</w:t>
      </w:r>
      <w:r w:rsidRPr="00C968B6">
        <w:rPr>
          <w:b/>
          <w:i/>
          <w:lang w:val="en-GB"/>
        </w:rPr>
        <w:t xml:space="preserve"> </w:t>
      </w:r>
      <w:r>
        <w:rPr>
          <w:b/>
          <w:i/>
          <w:lang w:val="en-GB"/>
        </w:rPr>
        <w:t>Support separate PHR for LTE and NR with LTE-NR DC.</w:t>
      </w:r>
    </w:p>
    <w:p w14:paraId="64099BEB" w14:textId="692D73B8" w:rsidR="002F77EB" w:rsidRPr="00F0497A" w:rsidRDefault="00E523F3" w:rsidP="00F900DD">
      <w:pPr>
        <w:pStyle w:val="Heading1"/>
        <w:jc w:val="both"/>
        <w:rPr>
          <w:lang w:val="en-US"/>
        </w:rPr>
      </w:pPr>
      <w:r w:rsidRPr="000A64D8">
        <w:rPr>
          <w:lang w:val="en-US"/>
        </w:rPr>
        <w:t>References</w:t>
      </w:r>
      <w:bookmarkStart w:id="17" w:name="_Ref457730460"/>
      <w:bookmarkStart w:id="18" w:name="_Ref450735844"/>
      <w:bookmarkStart w:id="19" w:name="_Ref450342757"/>
      <w:r w:rsidR="002F77EB" w:rsidRPr="005D74B7">
        <w:rPr>
          <w:rFonts w:hint="eastAsia"/>
        </w:rPr>
        <w:tab/>
      </w:r>
    </w:p>
    <w:p w14:paraId="11683C9B" w14:textId="50CFAC62" w:rsidR="00EE79A3" w:rsidRDefault="00683BDC" w:rsidP="00683BDC">
      <w:pPr>
        <w:pStyle w:val="ListParagraph"/>
        <w:numPr>
          <w:ilvl w:val="0"/>
          <w:numId w:val="2"/>
        </w:numPr>
        <w:jc w:val="both"/>
        <w:rPr>
          <w:rFonts w:ascii="Times New Roman" w:eastAsia="SimSun" w:hAnsi="Times New Roman"/>
          <w:sz w:val="20"/>
        </w:rPr>
      </w:pPr>
      <w:bookmarkStart w:id="20" w:name="_Ref481771738"/>
      <w:bookmarkStart w:id="21" w:name="_Ref461383190"/>
      <w:bookmarkStart w:id="22" w:name="_Ref489449226"/>
      <w:r w:rsidRPr="00683BDC">
        <w:rPr>
          <w:rFonts w:ascii="Times New Roman" w:eastAsia="SimSun" w:hAnsi="Times New Roman"/>
          <w:sz w:val="20"/>
        </w:rPr>
        <w:t>3GPP TSG RAN WG1 NR Ad-Hoc#2</w:t>
      </w:r>
      <w:r w:rsidR="009D6F3F">
        <w:rPr>
          <w:rFonts w:ascii="Times New Roman" w:eastAsia="SimSun" w:hAnsi="Times New Roman"/>
          <w:sz w:val="20"/>
        </w:rPr>
        <w:t>,</w:t>
      </w:r>
      <w:r w:rsidR="00F0497A">
        <w:rPr>
          <w:rFonts w:ascii="Times New Roman" w:eastAsia="SimSun" w:hAnsi="Times New Roman"/>
          <w:sz w:val="20"/>
        </w:rPr>
        <w:t xml:space="preserve"> “RAN1 Chairman’s Notes</w:t>
      </w:r>
      <w:r w:rsidR="009D6F3F">
        <w:rPr>
          <w:rFonts w:ascii="Times New Roman" w:eastAsia="SimSun" w:hAnsi="Times New Roman"/>
          <w:sz w:val="20"/>
        </w:rPr>
        <w:t>,”</w:t>
      </w:r>
      <w:r w:rsidR="00F0497A">
        <w:rPr>
          <w:rFonts w:ascii="Times New Roman" w:eastAsia="SimSun" w:hAnsi="Times New Roman"/>
          <w:sz w:val="20"/>
        </w:rPr>
        <w:t xml:space="preserve"> </w:t>
      </w:r>
      <w:bookmarkEnd w:id="17"/>
      <w:bookmarkEnd w:id="18"/>
      <w:bookmarkEnd w:id="19"/>
      <w:bookmarkEnd w:id="20"/>
      <w:bookmarkEnd w:id="21"/>
      <w:r w:rsidRPr="00683BDC">
        <w:rPr>
          <w:rFonts w:ascii="Times New Roman" w:eastAsia="SimSun" w:hAnsi="Times New Roman"/>
          <w:sz w:val="20"/>
        </w:rPr>
        <w:t>Qingdao, P.R. China, 27th – 30th June 2017</w:t>
      </w:r>
      <w:r>
        <w:rPr>
          <w:rFonts w:ascii="Times New Roman" w:eastAsia="SimSun" w:hAnsi="Times New Roman"/>
          <w:sz w:val="20"/>
        </w:rPr>
        <w:t>.</w:t>
      </w:r>
      <w:bookmarkEnd w:id="22"/>
    </w:p>
    <w:p w14:paraId="4A151301" w14:textId="5CFC82DA" w:rsidR="001028ED" w:rsidRPr="00683BDC" w:rsidRDefault="001028ED" w:rsidP="00683BDC">
      <w:pPr>
        <w:pStyle w:val="ListParagraph"/>
        <w:numPr>
          <w:ilvl w:val="0"/>
          <w:numId w:val="2"/>
        </w:numPr>
        <w:jc w:val="both"/>
        <w:rPr>
          <w:rFonts w:ascii="Times New Roman" w:eastAsia="SimSun" w:hAnsi="Times New Roman"/>
          <w:sz w:val="20"/>
        </w:rPr>
      </w:pPr>
      <w:bookmarkStart w:id="23" w:name="_Ref489627175"/>
      <w:r>
        <w:rPr>
          <w:rFonts w:ascii="Times New Roman" w:eastAsia="SimSun" w:hAnsi="Times New Roman"/>
          <w:sz w:val="20"/>
        </w:rPr>
        <w:t>3GPP TS 36.213, “</w:t>
      </w:r>
      <w:r w:rsidRPr="001028ED">
        <w:rPr>
          <w:rFonts w:ascii="Times New Roman" w:eastAsia="SimSun" w:hAnsi="Times New Roman"/>
          <w:sz w:val="20"/>
        </w:rPr>
        <w:t>Evolved Universal Terrestrial Radio Access (E-UTRA); Physical layer procedures</w:t>
      </w:r>
      <w:r>
        <w:rPr>
          <w:rFonts w:ascii="Times New Roman" w:eastAsia="SimSun" w:hAnsi="Times New Roman"/>
          <w:sz w:val="20"/>
        </w:rPr>
        <w:t>,” V14.3, June 23, 2017.</w:t>
      </w:r>
      <w:bookmarkEnd w:id="23"/>
    </w:p>
    <w:sectPr w:rsidR="001028ED" w:rsidRPr="00683BDC"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131E4" w14:textId="77777777" w:rsidR="00F964F9" w:rsidRDefault="00F964F9">
      <w:r>
        <w:separator/>
      </w:r>
    </w:p>
  </w:endnote>
  <w:endnote w:type="continuationSeparator" w:id="0">
    <w:p w14:paraId="10D7C258" w14:textId="77777777" w:rsidR="00F964F9" w:rsidRDefault="00F964F9">
      <w:r>
        <w:continuationSeparator/>
      </w:r>
    </w:p>
  </w:endnote>
  <w:endnote w:type="continuationNotice" w:id="1">
    <w:p w14:paraId="0EE3D88D" w14:textId="77777777" w:rsidR="00F964F9" w:rsidRDefault="00F964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F59B832"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477A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77A1">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68D16" w14:textId="77777777" w:rsidR="00F964F9" w:rsidRDefault="00F964F9">
      <w:r>
        <w:separator/>
      </w:r>
    </w:p>
  </w:footnote>
  <w:footnote w:type="continuationSeparator" w:id="0">
    <w:p w14:paraId="16CA1D1B" w14:textId="77777777" w:rsidR="00F964F9" w:rsidRDefault="00F964F9">
      <w:r>
        <w:continuationSeparator/>
      </w:r>
    </w:p>
  </w:footnote>
  <w:footnote w:type="continuationNotice" w:id="1">
    <w:p w14:paraId="2BE5E717" w14:textId="77777777" w:rsidR="00F964F9" w:rsidRDefault="00F964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817D4"/>
    <w:multiLevelType w:val="hybridMultilevel"/>
    <w:tmpl w:val="A59497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730795"/>
    <w:multiLevelType w:val="hybridMultilevel"/>
    <w:tmpl w:val="6F26694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F75983"/>
    <w:multiLevelType w:val="hybridMultilevel"/>
    <w:tmpl w:val="88C2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A2F5643"/>
    <w:multiLevelType w:val="hybridMultilevel"/>
    <w:tmpl w:val="FD8A5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0E48F0"/>
    <w:multiLevelType w:val="hybridMultilevel"/>
    <w:tmpl w:val="AA2011C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AD46B9"/>
    <w:multiLevelType w:val="hybridMultilevel"/>
    <w:tmpl w:val="82DEE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7F2DA4"/>
    <w:multiLevelType w:val="hybridMultilevel"/>
    <w:tmpl w:val="6374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4"/>
  </w:num>
  <w:num w:numId="4">
    <w:abstractNumId w:val="13"/>
  </w:num>
  <w:num w:numId="5">
    <w:abstractNumId w:val="2"/>
  </w:num>
  <w:num w:numId="6">
    <w:abstractNumId w:val="6"/>
  </w:num>
  <w:num w:numId="7">
    <w:abstractNumId w:val="17"/>
  </w:num>
  <w:num w:numId="8">
    <w:abstractNumId w:val="3"/>
  </w:num>
  <w:num w:numId="9">
    <w:abstractNumId w:val="8"/>
  </w:num>
  <w:num w:numId="10">
    <w:abstractNumId w:val="7"/>
  </w:num>
  <w:num w:numId="11">
    <w:abstractNumId w:val="11"/>
  </w:num>
  <w:num w:numId="12">
    <w:abstractNumId w:val="9"/>
  </w:num>
  <w:num w:numId="13">
    <w:abstractNumId w:val="12"/>
  </w:num>
  <w:num w:numId="14">
    <w:abstractNumId w:val="1"/>
  </w:num>
  <w:num w:numId="15">
    <w:abstractNumId w:val="14"/>
  </w:num>
  <w:num w:numId="16">
    <w:abstractNumId w:val="16"/>
  </w:num>
  <w:num w:numId="17">
    <w:abstractNumId w:val="5"/>
  </w:num>
  <w:num w:numId="1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63E"/>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7C1"/>
    <w:rsid w:val="00054917"/>
    <w:rsid w:val="00054ACE"/>
    <w:rsid w:val="00054AE4"/>
    <w:rsid w:val="00054B6B"/>
    <w:rsid w:val="00054DAB"/>
    <w:rsid w:val="0005504C"/>
    <w:rsid w:val="00055873"/>
    <w:rsid w:val="00055B8E"/>
    <w:rsid w:val="0005602E"/>
    <w:rsid w:val="00056057"/>
    <w:rsid w:val="00056675"/>
    <w:rsid w:val="000572A7"/>
    <w:rsid w:val="00057338"/>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7DE"/>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CAF"/>
    <w:rsid w:val="000F4D2F"/>
    <w:rsid w:val="000F4F44"/>
    <w:rsid w:val="000F53CB"/>
    <w:rsid w:val="000F6799"/>
    <w:rsid w:val="000F6881"/>
    <w:rsid w:val="000F6C32"/>
    <w:rsid w:val="000F6D86"/>
    <w:rsid w:val="000F7CAD"/>
    <w:rsid w:val="000F7EF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8ED"/>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4EAB"/>
    <w:rsid w:val="00125078"/>
    <w:rsid w:val="001252FE"/>
    <w:rsid w:val="001255A6"/>
    <w:rsid w:val="0012573A"/>
    <w:rsid w:val="00125D34"/>
    <w:rsid w:val="00126013"/>
    <w:rsid w:val="0012636F"/>
    <w:rsid w:val="00126871"/>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33A"/>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9E1"/>
    <w:rsid w:val="00172B61"/>
    <w:rsid w:val="00172C20"/>
    <w:rsid w:val="001738A5"/>
    <w:rsid w:val="00173A00"/>
    <w:rsid w:val="00173D38"/>
    <w:rsid w:val="00174DDB"/>
    <w:rsid w:val="00174E50"/>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B3C"/>
    <w:rsid w:val="001C3DC6"/>
    <w:rsid w:val="001C3DCD"/>
    <w:rsid w:val="001C3E02"/>
    <w:rsid w:val="001C447C"/>
    <w:rsid w:val="001C4A39"/>
    <w:rsid w:val="001C4F5F"/>
    <w:rsid w:val="001C54B8"/>
    <w:rsid w:val="001C5683"/>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B7"/>
    <w:rsid w:val="001E266E"/>
    <w:rsid w:val="001E2EEF"/>
    <w:rsid w:val="001E3188"/>
    <w:rsid w:val="001E31D1"/>
    <w:rsid w:val="001E32BE"/>
    <w:rsid w:val="001E3A45"/>
    <w:rsid w:val="001E3C52"/>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317"/>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0AB"/>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4A19"/>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3"/>
    <w:rsid w:val="002A5768"/>
    <w:rsid w:val="002A5E46"/>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BC"/>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046"/>
    <w:rsid w:val="003B3171"/>
    <w:rsid w:val="003B3E56"/>
    <w:rsid w:val="003B4039"/>
    <w:rsid w:val="003B4482"/>
    <w:rsid w:val="003B495C"/>
    <w:rsid w:val="003B4B90"/>
    <w:rsid w:val="003B4D9B"/>
    <w:rsid w:val="003B4D9D"/>
    <w:rsid w:val="003B4E9C"/>
    <w:rsid w:val="003B5358"/>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6"/>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950"/>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2EB6"/>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0FD"/>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D8C"/>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68"/>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81C"/>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1FA6"/>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4105"/>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45A"/>
    <w:rsid w:val="005946E2"/>
    <w:rsid w:val="0059486C"/>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B79"/>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3BB"/>
    <w:rsid w:val="006125DB"/>
    <w:rsid w:val="00612C73"/>
    <w:rsid w:val="00612D80"/>
    <w:rsid w:val="00612E96"/>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8C"/>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BDC"/>
    <w:rsid w:val="00683D7F"/>
    <w:rsid w:val="00683E9E"/>
    <w:rsid w:val="00684258"/>
    <w:rsid w:val="0068437D"/>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20BD"/>
    <w:rsid w:val="006A2312"/>
    <w:rsid w:val="006A2347"/>
    <w:rsid w:val="006A23E1"/>
    <w:rsid w:val="006A24B3"/>
    <w:rsid w:val="006A2AEE"/>
    <w:rsid w:val="006A2BF5"/>
    <w:rsid w:val="006A2D0E"/>
    <w:rsid w:val="006A2E66"/>
    <w:rsid w:val="006A3227"/>
    <w:rsid w:val="006A3297"/>
    <w:rsid w:val="006A3396"/>
    <w:rsid w:val="006A34A1"/>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AB1"/>
    <w:rsid w:val="006C6E92"/>
    <w:rsid w:val="006C75C9"/>
    <w:rsid w:val="006C7CAC"/>
    <w:rsid w:val="006C7FB9"/>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2CD3"/>
    <w:rsid w:val="007032E6"/>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84A"/>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06E"/>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5A"/>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C4E"/>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CAF"/>
    <w:rsid w:val="007E0F5A"/>
    <w:rsid w:val="007E1479"/>
    <w:rsid w:val="007E1A55"/>
    <w:rsid w:val="007E1CB1"/>
    <w:rsid w:val="007E1EBF"/>
    <w:rsid w:val="007E1FA7"/>
    <w:rsid w:val="007E201B"/>
    <w:rsid w:val="007E2146"/>
    <w:rsid w:val="007E2B64"/>
    <w:rsid w:val="007E2B9D"/>
    <w:rsid w:val="007E3182"/>
    <w:rsid w:val="007E36F8"/>
    <w:rsid w:val="007E42F2"/>
    <w:rsid w:val="007E4871"/>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0EDF"/>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18CB"/>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4C8"/>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0A9"/>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3B3"/>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41B"/>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5D7"/>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4FE"/>
    <w:rsid w:val="0094376F"/>
    <w:rsid w:val="00944202"/>
    <w:rsid w:val="00944335"/>
    <w:rsid w:val="0094484A"/>
    <w:rsid w:val="00944AF4"/>
    <w:rsid w:val="00945A9C"/>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724"/>
    <w:rsid w:val="0096392B"/>
    <w:rsid w:val="0096397B"/>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1"/>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3EE3"/>
    <w:rsid w:val="009B4250"/>
    <w:rsid w:val="009B4821"/>
    <w:rsid w:val="009B4C1C"/>
    <w:rsid w:val="009B4C24"/>
    <w:rsid w:val="009B5821"/>
    <w:rsid w:val="009B6016"/>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3F"/>
    <w:rsid w:val="009D6F4D"/>
    <w:rsid w:val="009D75A4"/>
    <w:rsid w:val="009D785E"/>
    <w:rsid w:val="009E04A9"/>
    <w:rsid w:val="009E04FB"/>
    <w:rsid w:val="009E0871"/>
    <w:rsid w:val="009E0DB6"/>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0FE"/>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5BE"/>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1EE"/>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DDA"/>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5EE"/>
    <w:rsid w:val="00B63870"/>
    <w:rsid w:val="00B63C4B"/>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05D"/>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45D"/>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6C9"/>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344"/>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8B6"/>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99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7ED"/>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E2B"/>
    <w:rsid w:val="00CF3F01"/>
    <w:rsid w:val="00CF4050"/>
    <w:rsid w:val="00CF41AE"/>
    <w:rsid w:val="00CF495B"/>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2D8"/>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D3C"/>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5EA"/>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2971"/>
    <w:rsid w:val="00DC3417"/>
    <w:rsid w:val="00DC3922"/>
    <w:rsid w:val="00DC3DE4"/>
    <w:rsid w:val="00DC478C"/>
    <w:rsid w:val="00DC48FE"/>
    <w:rsid w:val="00DC4D82"/>
    <w:rsid w:val="00DC5015"/>
    <w:rsid w:val="00DC522F"/>
    <w:rsid w:val="00DC5541"/>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0C9"/>
    <w:rsid w:val="00DD59AB"/>
    <w:rsid w:val="00DD5E0E"/>
    <w:rsid w:val="00DD5FFE"/>
    <w:rsid w:val="00DD6396"/>
    <w:rsid w:val="00DD6C70"/>
    <w:rsid w:val="00DD6DA2"/>
    <w:rsid w:val="00DD761C"/>
    <w:rsid w:val="00DE0171"/>
    <w:rsid w:val="00DE029B"/>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1FD"/>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2A"/>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BC0"/>
    <w:rsid w:val="00E65E6B"/>
    <w:rsid w:val="00E6640D"/>
    <w:rsid w:val="00E666A1"/>
    <w:rsid w:val="00E6682F"/>
    <w:rsid w:val="00E67631"/>
    <w:rsid w:val="00E67FAC"/>
    <w:rsid w:val="00E7041A"/>
    <w:rsid w:val="00E705E5"/>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6F53"/>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30E"/>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8EC"/>
    <w:rsid w:val="00EC7EE8"/>
    <w:rsid w:val="00ED071E"/>
    <w:rsid w:val="00ED0D66"/>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B43"/>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7A1"/>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3F2D"/>
    <w:rsid w:val="00F94003"/>
    <w:rsid w:val="00F945E2"/>
    <w:rsid w:val="00F94737"/>
    <w:rsid w:val="00F9495D"/>
    <w:rsid w:val="00F94A16"/>
    <w:rsid w:val="00F95013"/>
    <w:rsid w:val="00F951BD"/>
    <w:rsid w:val="00F9590D"/>
    <w:rsid w:val="00F9632D"/>
    <w:rsid w:val="00F9644F"/>
    <w:rsid w:val="00F96479"/>
    <w:rsid w:val="00F964F9"/>
    <w:rsid w:val="00F965D9"/>
    <w:rsid w:val="00F96C7A"/>
    <w:rsid w:val="00F96E7C"/>
    <w:rsid w:val="00F975B5"/>
    <w:rsid w:val="00F97666"/>
    <w:rsid w:val="00F97854"/>
    <w:rsid w:val="00F97F06"/>
    <w:rsid w:val="00FA0509"/>
    <w:rsid w:val="00FA0D78"/>
    <w:rsid w:val="00FA0D7E"/>
    <w:rsid w:val="00FA0E7C"/>
    <w:rsid w:val="00FA17D6"/>
    <w:rsid w:val="00FA1B1E"/>
    <w:rsid w:val="00FA1CBF"/>
    <w:rsid w:val="00FA1D8F"/>
    <w:rsid w:val="00FA1D91"/>
    <w:rsid w:val="00FA1EB0"/>
    <w:rsid w:val="00FA2002"/>
    <w:rsid w:val="00FA2526"/>
    <w:rsid w:val="00FA2663"/>
    <w:rsid w:val="00FA2AB0"/>
    <w:rsid w:val="00FA33A2"/>
    <w:rsid w:val="00FA356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5EC"/>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11"/>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numbering" w:customStyle="1" w:styleId="StyleBulleted">
    <w:name w:val="Style Bulleted"/>
    <w:rsid w:val="00683BDC"/>
    <w:pPr>
      <w:numPr>
        <w:numId w:val="15"/>
      </w:numPr>
    </w:pPr>
  </w:style>
  <w:style w:type="paragraph" w:styleId="PlainText">
    <w:name w:val="Plain Text"/>
    <w:basedOn w:val="Normal"/>
    <w:link w:val="PlainTextChar"/>
    <w:uiPriority w:val="99"/>
    <w:unhideWhenUsed/>
    <w:rsid w:val="00683BDC"/>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683BDC"/>
    <w:rPr>
      <w:rFonts w:ascii="Arial" w:eastAsia="MS Gothic" w:hAnsi="Arial"/>
      <w:color w:val="000000"/>
      <w:lang w:val="x-none" w:eastAsia="en-US"/>
    </w:rPr>
  </w:style>
  <w:style w:type="character" w:customStyle="1" w:styleId="st1">
    <w:name w:val="st1"/>
    <w:basedOn w:val="DefaultParagraphFont"/>
    <w:rsid w:val="001028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533000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HR33RHYHUWRF-4-5460</_dlc_DocId>
    <_dlc_DocIdUrl xmlns="c06861ca-3f08-4d07-bff7-bb15bac121f4">
      <Url>https://projects.qualcomm.com/sites/pentari/_layouts/15/DocIdRedir.aspx?ID=HR33RHYHUWRF-4-5460</Url>
      <Description>HR33RHYHUWRF-4-5460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dcmitype/"/>
    <ds:schemaRef ds:uri="c06861ca-3f08-4d07-bff7-bb15bac121f4"/>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6F852C-9AC5-469B-AF3E-FC27D4D51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9599</TotalTime>
  <Pages>3</Pages>
  <Words>1434</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265</cp:revision>
  <cp:lastPrinted>2014-11-07T05:38:00Z</cp:lastPrinted>
  <dcterms:created xsi:type="dcterms:W3CDTF">2016-11-05T05:29:00Z</dcterms:created>
  <dcterms:modified xsi:type="dcterms:W3CDTF">2017-08-12T00:57:00Z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53c34990-0137-40f1-8b9d-194cc992d854</vt:lpwstr>
  </property>
</Properties>
</file>